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7275FF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Верхняя Орлянка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7275FF">
        <w:rPr>
          <w:rFonts w:ascii="Times New Roman" w:hAnsi="Times New Roman"/>
          <w:sz w:val="28"/>
          <w:szCs w:val="28"/>
        </w:rPr>
        <w:t xml:space="preserve">сельского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7275FF">
        <w:rPr>
          <w:rFonts w:ascii="Times New Roman" w:hAnsi="Times New Roman"/>
          <w:sz w:val="28"/>
          <w:szCs w:val="28"/>
        </w:rPr>
        <w:t>Верхняя Орлянка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</w:t>
      </w:r>
      <w:proofErr w:type="gramEnd"/>
      <w:r w:rsidR="004D5F68" w:rsidRPr="00DA1BF6">
        <w:rPr>
          <w:rFonts w:ascii="Times New Roman" w:hAnsi="Times New Roman"/>
          <w:sz w:val="28"/>
          <w:szCs w:val="28"/>
        </w:rPr>
        <w:t xml:space="preserve">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7275FF">
        <w:rPr>
          <w:color w:val="auto"/>
          <w:sz w:val="28"/>
          <w:szCs w:val="28"/>
        </w:rPr>
        <w:t>сельского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поселения</w:t>
      </w:r>
      <w:r w:rsidR="009D4C39">
        <w:rPr>
          <w:color w:val="auto"/>
          <w:sz w:val="28"/>
          <w:szCs w:val="28"/>
        </w:rPr>
        <w:t xml:space="preserve"> </w:t>
      </w:r>
      <w:r w:rsidR="007275FF">
        <w:rPr>
          <w:color w:val="auto"/>
          <w:sz w:val="28"/>
          <w:szCs w:val="28"/>
        </w:rPr>
        <w:t>Верхняя Орлянка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  <w:proofErr w:type="gramEnd"/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</w:t>
      </w:r>
      <w:proofErr w:type="gramEnd"/>
      <w:r w:rsidR="007C308D" w:rsidRPr="00A26296">
        <w:rPr>
          <w:color w:val="auto"/>
          <w:sz w:val="28"/>
          <w:szCs w:val="28"/>
        </w:rPr>
        <w:t xml:space="preserve">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  <w:proofErr w:type="gramEnd"/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</w:t>
      </w:r>
      <w:proofErr w:type="gramEnd"/>
      <w:r w:rsidR="00D30C8D" w:rsidRPr="00DA1BF6">
        <w:t xml:space="preserve"> – </w:t>
      </w:r>
      <w:proofErr w:type="gramStart"/>
      <w:r w:rsidR="00D30C8D" w:rsidRPr="00DA1BF6">
        <w:t xml:space="preserve">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  <w:proofErr w:type="gramEnd"/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7275FF">
        <w:rPr>
          <w:sz w:val="28"/>
          <w:szCs w:val="28"/>
        </w:rPr>
        <w:t>сельского</w:t>
      </w:r>
      <w:r w:rsidR="001F6AAC">
        <w:rPr>
          <w:sz w:val="28"/>
          <w:szCs w:val="28"/>
        </w:rPr>
        <w:t xml:space="preserve"> </w:t>
      </w:r>
      <w:r w:rsidR="001F6AAC" w:rsidRPr="00DA1BF6">
        <w:rPr>
          <w:sz w:val="28"/>
          <w:szCs w:val="28"/>
        </w:rPr>
        <w:t>поселения</w:t>
      </w:r>
      <w:r w:rsidR="001F6AAC">
        <w:rPr>
          <w:sz w:val="28"/>
          <w:szCs w:val="28"/>
        </w:rPr>
        <w:t xml:space="preserve"> </w:t>
      </w:r>
      <w:r w:rsidR="007275FF">
        <w:rPr>
          <w:sz w:val="28"/>
          <w:szCs w:val="28"/>
        </w:rPr>
        <w:t>Верхняя Орлянка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proofErr w:type="gramStart"/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  <w:proofErr w:type="gramEnd"/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</w:t>
      </w:r>
      <w:r w:rsidRPr="00DA1BF6">
        <w:lastRenderedPageBreak/>
        <w:t>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DA1BF6">
        <w:rPr>
          <w:b w:val="0"/>
        </w:rPr>
        <w:t xml:space="preserve">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DA1BF6">
        <w:rPr>
          <w:b w:val="0"/>
        </w:rPr>
        <w:t xml:space="preserve">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  <w:proofErr w:type="gramEnd"/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lastRenderedPageBreak/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 xml:space="preserve">выдача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lastRenderedPageBreak/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Верхняя Орлянка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4F54C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</w:t>
      </w:r>
      <w:proofErr w:type="gramStart"/>
      <w:r w:rsidR="0080209A" w:rsidRPr="004F54C4">
        <w:rPr>
          <w:sz w:val="28"/>
          <w:szCs w:val="28"/>
        </w:rPr>
        <w:t>муниципальной</w:t>
      </w:r>
      <w:proofErr w:type="gramEnd"/>
      <w:r w:rsidR="0080209A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 xml:space="preserve">Основанием для начала административной процедуры </w:t>
      </w:r>
      <w:r w:rsidR="00064A4A" w:rsidRPr="004F54C4">
        <w:rPr>
          <w:sz w:val="28"/>
          <w:szCs w:val="28"/>
        </w:rPr>
        <w:lastRenderedPageBreak/>
        <w:t>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lastRenderedPageBreak/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Верхняя Орлянка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об исправлении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Верхняя Орлянка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</w:t>
      </w:r>
      <w:r w:rsidR="001C4D09" w:rsidRPr="00905708">
        <w:rPr>
          <w:sz w:val="28"/>
          <w:szCs w:val="28"/>
        </w:rPr>
        <w:lastRenderedPageBreak/>
        <w:t>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5FF">
        <w:rPr>
          <w:rFonts w:ascii="Times New Roman" w:eastAsia="Times New Roman" w:hAnsi="Times New Roman"/>
          <w:sz w:val="28"/>
          <w:szCs w:val="28"/>
          <w:lang w:eastAsia="ru-RU"/>
        </w:rPr>
        <w:t>Верхняя Орлянка</w:t>
      </w:r>
      <w:r w:rsidR="004B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E84" w:rsidRPr="00905708">
        <w:rPr>
          <w:rFonts w:ascii="Times New Roman" w:hAnsi="Times New Roman"/>
          <w:sz w:val="28"/>
          <w:szCs w:val="28"/>
        </w:rPr>
        <w:t>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  <w:proofErr w:type="gramEnd"/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  <w:proofErr w:type="gramEnd"/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905708">
        <w:rPr>
          <w:rFonts w:ascii="Times New Roman" w:hAnsi="Times New Roman"/>
          <w:sz w:val="28"/>
          <w:szCs w:val="28"/>
        </w:rPr>
        <w:t xml:space="preserve"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</w:t>
      </w:r>
      <w:r w:rsidRPr="00905708">
        <w:rPr>
          <w:rFonts w:ascii="Times New Roman" w:hAnsi="Times New Roman"/>
          <w:sz w:val="28"/>
          <w:szCs w:val="28"/>
        </w:rPr>
        <w:lastRenderedPageBreak/>
        <w:t>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DF" w:rsidRDefault="00F26CDF" w:rsidP="007528B1">
      <w:r>
        <w:separator/>
      </w:r>
    </w:p>
  </w:endnote>
  <w:endnote w:type="continuationSeparator" w:id="0">
    <w:p w:rsidR="00F26CDF" w:rsidRDefault="00F26CDF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DF" w:rsidRDefault="00F26CDF" w:rsidP="007528B1">
      <w:r>
        <w:separator/>
      </w:r>
    </w:p>
  </w:footnote>
  <w:footnote w:type="continuationSeparator" w:id="0">
    <w:p w:rsidR="00F26CDF" w:rsidRDefault="00F26CDF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96301D">
    <w:pPr>
      <w:jc w:val="center"/>
    </w:pPr>
    <w:fldSimple w:instr="PAGE   \* MERGEFORMAT">
      <w:r w:rsidR="007275FF">
        <w:rPr>
          <w:noProof/>
        </w:rPr>
        <w:t>32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5FF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01D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F23C-9C8B-4C3D-9EBB-8DFD01E4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10103</Words>
  <Characters>57589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2024-10-22T06:50:00Z</cp:lastPrinted>
  <dcterms:created xsi:type="dcterms:W3CDTF">2024-12-04T07:43:00Z</dcterms:created>
  <dcterms:modified xsi:type="dcterms:W3CDTF">2024-12-04T07:43:00Z</dcterms:modified>
</cp:coreProperties>
</file>